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Pr="009869E0" w:rsidRDefault="00B12E70" w:rsidP="00B365E3">
            <w:pPr>
              <w:rPr>
                <w:rStyle w:val="Firstpagetablebold"/>
                <w:sz w:val="8"/>
                <w:szCs w:val="8"/>
              </w:rPr>
            </w:pPr>
          </w:p>
          <w:p w:rsidR="00BB4116" w:rsidRDefault="00BB4116" w:rsidP="00B365E3">
            <w:pPr>
              <w:rPr>
                <w:rStyle w:val="Firstpagetablebold"/>
              </w:rPr>
            </w:pPr>
            <w:r>
              <w:rPr>
                <w:rStyle w:val="Firstpagetablebold"/>
              </w:rPr>
              <w:t>To:</w:t>
            </w:r>
          </w:p>
          <w:p w:rsidR="003C531A" w:rsidRDefault="003323A8" w:rsidP="00B365E3">
            <w:pPr>
              <w:rPr>
                <w:rStyle w:val="Firstpagetablebold"/>
                <w:rFonts w:cs="Times New Roman"/>
              </w:rPr>
            </w:pPr>
            <w:r>
              <w:rPr>
                <w:rStyle w:val="Firstpagetablebold"/>
                <w:rFonts w:cs="Times New Roman"/>
              </w:rPr>
              <w:t>Date:</w:t>
            </w:r>
          </w:p>
        </w:tc>
        <w:tc>
          <w:tcPr>
            <w:tcW w:w="6407" w:type="dxa"/>
            <w:hideMark/>
          </w:tcPr>
          <w:p w:rsidR="00B12E70" w:rsidRPr="009869E0" w:rsidRDefault="00B12E70" w:rsidP="00B365E3">
            <w:pPr>
              <w:rPr>
                <w:rStyle w:val="Firstpagetablebold"/>
                <w:sz w:val="8"/>
                <w:szCs w:val="8"/>
              </w:rPr>
            </w:pPr>
          </w:p>
          <w:p w:rsidR="0077249A" w:rsidRDefault="003323A8" w:rsidP="003C531A">
            <w:pPr>
              <w:rPr>
                <w:rStyle w:val="Firstpagetablebold"/>
              </w:rPr>
            </w:pPr>
            <w:r>
              <w:rPr>
                <w:rStyle w:val="Firstpagetablebold"/>
              </w:rPr>
              <w:t>Council</w:t>
            </w:r>
          </w:p>
          <w:p w:rsidR="003C531A" w:rsidRDefault="003323A8" w:rsidP="007A7741">
            <w:pPr>
              <w:rPr>
                <w:rStyle w:val="Firstpagetablebold"/>
              </w:rPr>
            </w:pPr>
            <w:r>
              <w:rPr>
                <w:rStyle w:val="Firstpagetablebold"/>
              </w:rPr>
              <w:t>28 November 2022</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64BDE">
              <w:rPr>
                <w:rStyle w:val="Firstpagetablebold"/>
              </w:rPr>
              <w:t xml:space="preserve"> taken under Part</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Pr="00997C3E" w:rsidRDefault="00B12E70" w:rsidP="00B365E3">
            <w:pPr>
              <w:rPr>
                <w:rStyle w:val="Firstpagetablebold"/>
                <w:sz w:val="8"/>
                <w:szCs w:val="8"/>
              </w:rPr>
            </w:pPr>
          </w:p>
        </w:tc>
        <w:tc>
          <w:tcPr>
            <w:tcW w:w="6407" w:type="dxa"/>
          </w:tcPr>
          <w:p w:rsidR="00B12E70" w:rsidRPr="009869E0" w:rsidRDefault="00B12E70" w:rsidP="00D35A7A">
            <w:pPr>
              <w:rPr>
                <w:rStyle w:val="Firstpagetablebold"/>
                <w:sz w:val="8"/>
                <w:szCs w:val="8"/>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77249A" w:rsidP="003323A8">
            <w:r>
              <w:t xml:space="preserve">Council </w:t>
            </w:r>
            <w:r w:rsidR="003323A8">
              <w:t>is</w:t>
            </w:r>
            <w:r w:rsidR="003C531A">
              <w:t xml:space="preserve"> asked to note the decision</w:t>
            </w:r>
            <w:r w:rsidR="00BB4116">
              <w:t xml:space="preserve"> taken by the </w:t>
            </w:r>
            <w:r w:rsidR="00DB59F5">
              <w:t xml:space="preserve">Head of Paid Service </w:t>
            </w:r>
            <w:r w:rsidR="00DC3B68">
              <w:t xml:space="preserve">using the urgency </w:t>
            </w:r>
            <w:r w:rsidR="003D56D2">
              <w:t>powers</w:t>
            </w:r>
            <w:r w:rsidR="00DC3B68">
              <w:t xml:space="preserve"> delegated in </w:t>
            </w:r>
            <w:r w:rsidR="000C3011">
              <w:t>P</w:t>
            </w:r>
            <w:r w:rsidR="003C531A">
              <w:t>art</w:t>
            </w:r>
            <w:r w:rsidR="000C3011">
              <w:t xml:space="preserve"> 9.3(b) of </w:t>
            </w:r>
            <w:r w:rsidR="00DC3B68">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1D2597" w:rsidP="003323A8">
            <w:r>
              <w:rPr>
                <w:rStyle w:val="Firstpagetablebold"/>
              </w:rPr>
              <w:t>Recommendation</w:t>
            </w:r>
            <w:r w:rsidR="00BB4116">
              <w:rPr>
                <w:rStyle w:val="Firstpagetablebold"/>
              </w:rPr>
              <w:t xml:space="preserve">: </w:t>
            </w:r>
            <w:r w:rsidR="003323A8" w:rsidRPr="003323A8">
              <w:rPr>
                <w:rStyle w:val="Firstpagetablebold"/>
              </w:rPr>
              <w:t>That Council resolves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C268EB" w:rsidRPr="00C268EB" w:rsidRDefault="003C531A" w:rsidP="003323A8">
            <w:pPr>
              <w:rPr>
                <w:rFonts w:cs="Arial"/>
                <w:b/>
              </w:rPr>
            </w:pPr>
            <w:r>
              <w:rPr>
                <w:rStyle w:val="Firstpagetablebold"/>
              </w:rPr>
              <w:t xml:space="preserve">Note </w:t>
            </w:r>
            <w:r w:rsidRPr="001D2597">
              <w:rPr>
                <w:rStyle w:val="Firstpagetablebold"/>
                <w:b w:val="0"/>
              </w:rPr>
              <w:t>the decision</w:t>
            </w:r>
            <w:r w:rsidR="00C268EB" w:rsidRPr="001D2597">
              <w:rPr>
                <w:rStyle w:val="Firstpagetablebold"/>
                <w:b w:val="0"/>
              </w:rPr>
              <w:t xml:space="preserve"> taken as set out in the report</w:t>
            </w:r>
            <w:r w:rsidR="003323A8">
              <w:rPr>
                <w:rStyle w:val="Firstpagetablebold"/>
                <w:b w:val="0"/>
              </w:rPr>
              <w:t>.</w:t>
            </w:r>
          </w:p>
        </w:tc>
      </w:tr>
    </w:tbl>
    <w:p w:rsidR="00BC313A" w:rsidRPr="00997C3E" w:rsidRDefault="00BC313A" w:rsidP="00B365E3">
      <w:pPr>
        <w:rPr>
          <w:rFonts w:eastAsia="Arial Unicode M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C2D82" w:rsidRPr="00CC2D82" w:rsidTr="00CC2D82">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3323A8">
            <w:pPr>
              <w:jc w:val="center"/>
              <w:rPr>
                <w:rFonts w:eastAsia="Arial Unicode MS"/>
              </w:rPr>
            </w:pPr>
            <w:r w:rsidRPr="00CC2D82">
              <w:rPr>
                <w:rFonts w:eastAsia="Arial Unicode MS"/>
                <w:b/>
              </w:rPr>
              <w:t>Appendices</w:t>
            </w:r>
          </w:p>
        </w:tc>
      </w:tr>
      <w:tr w:rsidR="003323A8" w:rsidRPr="00CC2D82" w:rsidTr="007F31D2">
        <w:trPr>
          <w:trHeight w:val="312"/>
        </w:trPr>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3323A8" w:rsidRPr="00CC2D82" w:rsidRDefault="003323A8" w:rsidP="003323A8">
            <w:pPr>
              <w:jc w:val="center"/>
              <w:rPr>
                <w:rFonts w:eastAsia="Arial Unicode MS"/>
              </w:rPr>
            </w:pPr>
            <w:r>
              <w:rPr>
                <w:rFonts w:eastAsia="Arial Unicode MS"/>
              </w:rPr>
              <w:t>None</w:t>
            </w:r>
          </w:p>
        </w:tc>
      </w:tr>
    </w:tbl>
    <w:p w:rsidR="00CC2D82" w:rsidRDefault="00CC2D82" w:rsidP="0034201F">
      <w:pPr>
        <w:spacing w:after="0"/>
        <w:rPr>
          <w:rFonts w:eastAsia="Arial Unicode MS"/>
        </w:rPr>
      </w:pPr>
    </w:p>
    <w:p w:rsidR="00BB4116" w:rsidRPr="00BB4116" w:rsidRDefault="00BB4116" w:rsidP="00B365E3">
      <w:pPr>
        <w:pStyle w:val="Heading1"/>
      </w:pPr>
      <w:r w:rsidRPr="00BB4116">
        <w:t>Introduction and background</w:t>
      </w:r>
    </w:p>
    <w:p w:rsidR="00BB4116" w:rsidRDefault="00BB4116" w:rsidP="003323A8">
      <w:pPr>
        <w:pStyle w:val="ListParagraph"/>
        <w:ind w:left="426" w:hanging="426"/>
        <w:jc w:val="both"/>
      </w:pPr>
      <w:r w:rsidRPr="00BB4116">
        <w:t xml:space="preserve">This report </w:t>
      </w:r>
      <w:r w:rsidR="00ED0FD4">
        <w:t xml:space="preserve">updates </w:t>
      </w:r>
      <w:r w:rsidR="0077249A">
        <w:t xml:space="preserve">Council </w:t>
      </w:r>
      <w:r w:rsidR="00ED0FD4">
        <w:t>on</w:t>
      </w:r>
      <w:r w:rsidR="002E3B5C">
        <w:t xml:space="preserve"> a</w:t>
      </w:r>
      <w:r w:rsidR="00ED0FD4">
        <w:t xml:space="preserve"> </w:t>
      </w:r>
      <w:r w:rsidR="003C531A">
        <w:t>decision</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3323A8">
      <w:pPr>
        <w:pStyle w:val="ListParagraph"/>
        <w:ind w:left="426" w:hanging="426"/>
        <w:jc w:val="both"/>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3323A8">
      <w:pPr>
        <w:pStyle w:val="ListParagraph"/>
        <w:numPr>
          <w:ilvl w:val="0"/>
          <w:numId w:val="0"/>
        </w:numPr>
        <w:ind w:left="426"/>
        <w:jc w:val="both"/>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3323A8">
      <w:pPr>
        <w:pStyle w:val="ListParagraph"/>
        <w:numPr>
          <w:ilvl w:val="0"/>
          <w:numId w:val="0"/>
        </w:numPr>
        <w:ind w:left="426"/>
        <w:jc w:val="both"/>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3323A8" w:rsidRDefault="003323A8" w:rsidP="003323A8">
      <w:pPr>
        <w:pStyle w:val="ListParagraph"/>
        <w:numPr>
          <w:ilvl w:val="0"/>
          <w:numId w:val="0"/>
        </w:numPr>
        <w:ind w:left="426"/>
        <w:jc w:val="both"/>
        <w:rPr>
          <w:i/>
        </w:rPr>
      </w:pPr>
      <w:r w:rsidRPr="00781972">
        <w:rPr>
          <w:i/>
        </w:rPr>
        <w:t>Key decision procedures and call in procedures (Parts 15 &amp; 17) will apply to any key decisions taken under this authorisation.</w:t>
      </w: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3323A8" w:rsidRPr="003323A8" w:rsidRDefault="003C531A" w:rsidP="003F0C65">
      <w:pPr>
        <w:pStyle w:val="ListParagraph"/>
        <w:ind w:left="426" w:hanging="426"/>
        <w:jc w:val="both"/>
      </w:pPr>
      <w:r>
        <w:t>The following decision ha</w:t>
      </w:r>
      <w:r w:rsidR="00AD66DD">
        <w:t>s</w:t>
      </w:r>
      <w:r w:rsidR="000C3011">
        <w:t xml:space="preserve"> been taken </w:t>
      </w:r>
      <w:r w:rsidR="005C1B66">
        <w:t xml:space="preserve">using urgency powers </w:t>
      </w:r>
      <w:r w:rsidR="000C3011">
        <w:t xml:space="preserve">for which </w:t>
      </w:r>
      <w:r w:rsidR="0034201F">
        <w:t xml:space="preserve">Council </w:t>
      </w:r>
      <w:r w:rsidR="000C3011">
        <w:t xml:space="preserve">would </w:t>
      </w:r>
      <w:r w:rsidR="005C1B66">
        <w:t>otherwise</w:t>
      </w:r>
      <w:r w:rsidR="000C3011">
        <w:t xml:space="preserve"> have been required to give the necessary authority to act. </w:t>
      </w:r>
      <w:r w:rsidR="00FF2BE1">
        <w:rPr>
          <w:rFonts w:cs="Arial"/>
          <w:bCs/>
        </w:rPr>
        <w:t xml:space="preserve">Council is responsible for </w:t>
      </w:r>
      <w:r w:rsidR="003323A8">
        <w:rPr>
          <w:rFonts w:cs="Arial"/>
          <w:bCs/>
        </w:rPr>
        <w:t>terms and conditions of employment for all staff and agreeing the budget. Council is asked to note the decision.</w:t>
      </w:r>
    </w:p>
    <w:p w:rsidR="00ED0FD4" w:rsidRDefault="00ED0FD4" w:rsidP="003F0C65">
      <w:pPr>
        <w:pStyle w:val="ListParagraph"/>
        <w:spacing w:after="0"/>
        <w:ind w:left="425" w:hanging="425"/>
        <w:jc w:val="both"/>
      </w:pPr>
      <w:r>
        <w:t>This report does not include decisions taken using</w:t>
      </w:r>
      <w:r w:rsidR="00C1481D">
        <w:t xml:space="preserve"> urgency or</w:t>
      </w:r>
      <w:r>
        <w:t xml:space="preserve"> emergency powers that</w:t>
      </w:r>
      <w:r w:rsidR="00C1481D">
        <w:t xml:space="preserve"> </w:t>
      </w:r>
      <w:r w:rsidR="00E348EB">
        <w:t xml:space="preserve">have previously been reported to </w:t>
      </w:r>
      <w:r w:rsidR="0034201F">
        <w:t>Council</w:t>
      </w:r>
      <w:r>
        <w:t>.</w:t>
      </w:r>
    </w:p>
    <w:p w:rsidR="00505CF6" w:rsidRDefault="00505CF6" w:rsidP="0034201F">
      <w:pPr>
        <w:pStyle w:val="ListParagraph"/>
        <w:numPr>
          <w:ilvl w:val="0"/>
          <w:numId w:val="0"/>
        </w:numPr>
        <w:spacing w:after="0"/>
        <w:ind w:left="357"/>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826"/>
        <w:gridCol w:w="7088"/>
      </w:tblGrid>
      <w:tr w:rsidR="00505CF6" w:rsidRPr="00C74FC0" w:rsidTr="00F55C64">
        <w:tc>
          <w:tcPr>
            <w:tcW w:w="1137" w:type="dxa"/>
            <w:noWrap/>
          </w:tcPr>
          <w:p w:rsidR="00505CF6" w:rsidRPr="00CC2D82" w:rsidRDefault="00505CF6" w:rsidP="00561AED">
            <w:pPr>
              <w:pStyle w:val="Normal17"/>
              <w:overflowPunct/>
              <w:autoSpaceDE/>
              <w:autoSpaceDN/>
              <w:adjustRightInd/>
              <w:textAlignment w:val="auto"/>
              <w:rPr>
                <w:b/>
              </w:rPr>
            </w:pPr>
            <w:r>
              <w:rPr>
                <w:b/>
                <w:bdr w:val="nil"/>
              </w:rPr>
              <w:t xml:space="preserve">ITEM </w:t>
            </w:r>
            <w:r w:rsidR="003323A8">
              <w:rPr>
                <w:b/>
                <w:bdr w:val="nil"/>
              </w:rPr>
              <w:t>1</w:t>
            </w:r>
            <w:r w:rsidRPr="00CC2D82">
              <w:rPr>
                <w:b/>
                <w:bdr w:val="nil"/>
              </w:rPr>
              <w:t xml:space="preserve"> </w:t>
            </w:r>
          </w:p>
        </w:tc>
        <w:tc>
          <w:tcPr>
            <w:tcW w:w="7914" w:type="dxa"/>
            <w:gridSpan w:val="2"/>
          </w:tcPr>
          <w:p w:rsidR="00505CF6" w:rsidRPr="00C74FC0" w:rsidRDefault="003323A8" w:rsidP="00561AED">
            <w:pPr>
              <w:pStyle w:val="Normal17"/>
              <w:rPr>
                <w:rFonts w:ascii="Arial Bold" w:hAnsi="Arial Bold"/>
                <w:b/>
                <w:caps/>
              </w:rPr>
            </w:pPr>
            <w:r>
              <w:rPr>
                <w:rFonts w:ascii="Arial Bold" w:hAnsi="Arial Bold"/>
                <w:b/>
                <w:caps/>
              </w:rPr>
              <w:t>COST OF LIVING PAYMENT FOR OXFORD CITY COUNCIL STAFF</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C268EB" w:rsidRPr="007A7741" w:rsidRDefault="003323A8" w:rsidP="007A7741">
            <w:pPr>
              <w:rPr>
                <w:rFonts w:cs="Arial"/>
              </w:rPr>
            </w:pPr>
            <w:r>
              <w:rPr>
                <w:rFonts w:cs="Arial"/>
              </w:rPr>
              <w:t>Approval of expenditure of c £400,000 from the Council’s financial reserves to make a one-off ex-gratia payment</w:t>
            </w:r>
            <w:r w:rsidR="0086769B">
              <w:rPr>
                <w:rFonts w:cs="Arial"/>
              </w:rPr>
              <w:t xml:space="preserve"> of £500</w:t>
            </w:r>
            <w:r>
              <w:rPr>
                <w:rFonts w:cs="Arial"/>
              </w:rPr>
              <w:t xml:space="preserve"> to Oxford City Council staff to reflect the cost of living crisis.</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Date</w:t>
            </w:r>
            <w:r w:rsidR="00561AED">
              <w:rPr>
                <w:b/>
                <w:bCs/>
                <w:sz w:val="24"/>
                <w:szCs w:val="24"/>
              </w:rPr>
              <w:t xml:space="preserve"> of  decision</w:t>
            </w:r>
            <w:r w:rsidRPr="00AD1DCC">
              <w:rPr>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3323A8" w:rsidP="003323A8">
            <w:pPr>
              <w:pStyle w:val="Normal17"/>
              <w:rPr>
                <w:sz w:val="24"/>
                <w:szCs w:val="24"/>
              </w:rPr>
            </w:pPr>
            <w:r>
              <w:rPr>
                <w:sz w:val="24"/>
                <w:szCs w:val="24"/>
              </w:rPr>
              <w:t>25</w:t>
            </w:r>
            <w:r w:rsidR="00F86808">
              <w:rPr>
                <w:sz w:val="24"/>
                <w:szCs w:val="24"/>
              </w:rPr>
              <w:t xml:space="preserve"> </w:t>
            </w:r>
            <w:r>
              <w:rPr>
                <w:sz w:val="24"/>
                <w:szCs w:val="24"/>
              </w:rPr>
              <w:t>October 2022</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Decision taker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sz w:val="24"/>
                <w:szCs w:val="24"/>
                <w:bdr w:val="nil"/>
              </w:rPr>
            </w:pPr>
            <w:r w:rsidRPr="00AD1DCC">
              <w:rPr>
                <w:sz w:val="24"/>
                <w:szCs w:val="24"/>
                <w:bdr w:val="nil"/>
              </w:rPr>
              <w:t>Head of Paid Service (Chief Executive)</w:t>
            </w:r>
          </w:p>
          <w:p w:rsidR="00505CF6" w:rsidRPr="00AD1DCC" w:rsidRDefault="00505CF6" w:rsidP="00561AED">
            <w:pPr>
              <w:pStyle w:val="Normal17"/>
              <w:rPr>
                <w:sz w:val="24"/>
                <w:szCs w:val="24"/>
                <w:bdr w:val="nil"/>
              </w:rPr>
            </w:pPr>
          </w:p>
          <w:p w:rsidR="00601D5A" w:rsidRDefault="00501AB0" w:rsidP="00561AED">
            <w:pPr>
              <w:pStyle w:val="Normal17"/>
              <w:rPr>
                <w:sz w:val="24"/>
                <w:szCs w:val="24"/>
                <w:bdr w:val="nil"/>
              </w:rPr>
            </w:pPr>
            <w:r w:rsidRPr="00501AB0">
              <w:rPr>
                <w:sz w:val="24"/>
                <w:szCs w:val="24"/>
                <w:bdr w:val="nil"/>
              </w:rPr>
              <w:t>Decision taken in consultation with</w:t>
            </w:r>
            <w:r w:rsidR="00601D5A">
              <w:rPr>
                <w:sz w:val="24"/>
                <w:szCs w:val="24"/>
                <w:bdr w:val="nil"/>
              </w:rPr>
              <w:t>:</w:t>
            </w:r>
          </w:p>
          <w:p w:rsidR="00601D5A" w:rsidRDefault="00501AB0" w:rsidP="00561AED">
            <w:pPr>
              <w:pStyle w:val="Normal17"/>
              <w:numPr>
                <w:ilvl w:val="0"/>
                <w:numId w:val="4"/>
              </w:numPr>
              <w:rPr>
                <w:sz w:val="24"/>
                <w:szCs w:val="24"/>
                <w:bdr w:val="nil"/>
              </w:rPr>
            </w:pPr>
            <w:r w:rsidRPr="00501AB0">
              <w:rPr>
                <w:sz w:val="24"/>
                <w:szCs w:val="24"/>
                <w:bdr w:val="nil"/>
              </w:rPr>
              <w:t xml:space="preserve">Councillor </w:t>
            </w:r>
            <w:r w:rsidR="003323A8">
              <w:rPr>
                <w:sz w:val="24"/>
                <w:szCs w:val="24"/>
                <w:bdr w:val="nil"/>
              </w:rPr>
              <w:t>Susan Brown</w:t>
            </w:r>
            <w:r w:rsidRPr="00501AB0">
              <w:rPr>
                <w:sz w:val="24"/>
                <w:szCs w:val="24"/>
                <w:bdr w:val="nil"/>
              </w:rPr>
              <w:t xml:space="preserve">, </w:t>
            </w:r>
            <w:r w:rsidR="003323A8">
              <w:rPr>
                <w:sz w:val="24"/>
                <w:szCs w:val="24"/>
                <w:bdr w:val="nil"/>
              </w:rPr>
              <w:t>Leader of the Council</w:t>
            </w:r>
          </w:p>
          <w:p w:rsidR="003323A8" w:rsidRDefault="003323A8" w:rsidP="00561AED">
            <w:pPr>
              <w:pStyle w:val="Normal17"/>
              <w:numPr>
                <w:ilvl w:val="0"/>
                <w:numId w:val="4"/>
              </w:numPr>
              <w:rPr>
                <w:sz w:val="24"/>
                <w:szCs w:val="24"/>
                <w:bdr w:val="nil"/>
              </w:rPr>
            </w:pPr>
            <w:r>
              <w:rPr>
                <w:sz w:val="24"/>
                <w:szCs w:val="24"/>
                <w:bdr w:val="nil"/>
              </w:rPr>
              <w:t>Councillor Dr Christopher Smowton, Leader of the Liberal Democrat Group</w:t>
            </w:r>
          </w:p>
          <w:p w:rsidR="003323A8" w:rsidRDefault="003323A8" w:rsidP="00561AED">
            <w:pPr>
              <w:pStyle w:val="Normal17"/>
              <w:numPr>
                <w:ilvl w:val="0"/>
                <w:numId w:val="4"/>
              </w:numPr>
              <w:rPr>
                <w:sz w:val="24"/>
                <w:szCs w:val="24"/>
                <w:bdr w:val="nil"/>
              </w:rPr>
            </w:pPr>
            <w:r>
              <w:rPr>
                <w:sz w:val="24"/>
                <w:szCs w:val="24"/>
                <w:bdr w:val="nil"/>
              </w:rPr>
              <w:t>Councillor Chris Jarvis, Leader of the Green Group</w:t>
            </w:r>
          </w:p>
          <w:p w:rsidR="003323A8" w:rsidRDefault="003323A8" w:rsidP="00561AED">
            <w:pPr>
              <w:pStyle w:val="Normal17"/>
              <w:numPr>
                <w:ilvl w:val="0"/>
                <w:numId w:val="4"/>
              </w:numPr>
              <w:rPr>
                <w:sz w:val="24"/>
                <w:szCs w:val="24"/>
                <w:bdr w:val="nil"/>
              </w:rPr>
            </w:pPr>
            <w:r>
              <w:rPr>
                <w:sz w:val="24"/>
                <w:szCs w:val="24"/>
                <w:bdr w:val="nil"/>
              </w:rPr>
              <w:t>Tom Hook, Executive Director (Corporate Resources)</w:t>
            </w:r>
          </w:p>
          <w:p w:rsidR="00601D5A" w:rsidRDefault="0086769B" w:rsidP="00561AED">
            <w:pPr>
              <w:pStyle w:val="Normal17"/>
              <w:numPr>
                <w:ilvl w:val="0"/>
                <w:numId w:val="4"/>
              </w:numPr>
              <w:rPr>
                <w:sz w:val="24"/>
                <w:szCs w:val="24"/>
                <w:bdr w:val="nil"/>
              </w:rPr>
            </w:pPr>
            <w:r>
              <w:rPr>
                <w:sz w:val="24"/>
                <w:szCs w:val="24"/>
                <w:bdr w:val="nil"/>
              </w:rPr>
              <w:t>Nigel Kennedy,</w:t>
            </w:r>
            <w:r w:rsidR="00501AB0" w:rsidRPr="00501AB0">
              <w:rPr>
                <w:sz w:val="24"/>
                <w:szCs w:val="24"/>
                <w:bdr w:val="nil"/>
              </w:rPr>
              <w:t xml:space="preserve"> Head of Financial Services</w:t>
            </w:r>
          </w:p>
          <w:p w:rsidR="00F86808" w:rsidRPr="003323A8" w:rsidRDefault="00601D5A" w:rsidP="003323A8">
            <w:pPr>
              <w:pStyle w:val="Normal17"/>
              <w:numPr>
                <w:ilvl w:val="0"/>
                <w:numId w:val="4"/>
              </w:numPr>
              <w:rPr>
                <w:sz w:val="24"/>
                <w:szCs w:val="24"/>
                <w:bdr w:val="nil"/>
              </w:rPr>
            </w:pPr>
            <w:r>
              <w:rPr>
                <w:sz w:val="24"/>
                <w:szCs w:val="24"/>
                <w:bdr w:val="nil"/>
              </w:rPr>
              <w:t>Susan Sale</w:t>
            </w:r>
            <w:r w:rsidR="00501AB0" w:rsidRPr="00501AB0">
              <w:rPr>
                <w:sz w:val="24"/>
                <w:szCs w:val="24"/>
                <w:bdr w:val="nil"/>
              </w:rPr>
              <w:t>, Head of Law and Governance</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shd w:val="clear" w:color="auto" w:fill="auto"/>
          </w:tcPr>
          <w:p w:rsidR="00505CF6" w:rsidRPr="00AD1DCC" w:rsidRDefault="00505CF6" w:rsidP="00561AED">
            <w:pPr>
              <w:spacing w:before="120"/>
              <w:rPr>
                <w:rFonts w:cs="Arial"/>
                <w:szCs w:val="24"/>
              </w:rPr>
            </w:pPr>
            <w:r w:rsidRPr="00AD1DCC">
              <w:rPr>
                <w:rFonts w:cs="Arial"/>
                <w:b/>
                <w:szCs w:val="24"/>
              </w:rPr>
              <w:t>Was the decision taken under emergency or urgency rules?</w:t>
            </w:r>
          </w:p>
        </w:tc>
        <w:tc>
          <w:tcPr>
            <w:tcW w:w="7088" w:type="dxa"/>
            <w:shd w:val="clear" w:color="auto" w:fill="auto"/>
          </w:tcPr>
          <w:p w:rsidR="00505CF6" w:rsidRPr="00BE11BE" w:rsidRDefault="00505CF6" w:rsidP="00561AED">
            <w:pPr>
              <w:rPr>
                <w:rFonts w:cs="Arial"/>
                <w:szCs w:val="24"/>
              </w:rPr>
            </w:pPr>
            <w:r w:rsidRPr="00AD1DCC">
              <w:rPr>
                <w:rFonts w:cs="Arial"/>
                <w:szCs w:val="24"/>
              </w:rPr>
              <w:t>Constitution 9.3(b)</w:t>
            </w:r>
            <w:r>
              <w:rPr>
                <w:rFonts w:cs="Arial"/>
                <w:szCs w:val="24"/>
              </w:rPr>
              <w:t>:</w:t>
            </w:r>
          </w:p>
          <w:p w:rsidR="00505CF6" w:rsidRPr="00BE11BE" w:rsidRDefault="00505CF6" w:rsidP="00561AED">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561AED">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Is this a Key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51E4C" w:rsidRPr="00AD1DCC" w:rsidRDefault="0086769B" w:rsidP="00561AED">
            <w:pPr>
              <w:pStyle w:val="Normal17"/>
              <w:rPr>
                <w:bCs/>
                <w:sz w:val="24"/>
                <w:szCs w:val="24"/>
              </w:rPr>
            </w:pPr>
            <w:r>
              <w:rPr>
                <w:bCs/>
                <w:sz w:val="24"/>
                <w:szCs w:val="24"/>
              </w:rPr>
              <w:t xml:space="preserve">Yes </w:t>
            </w:r>
            <w:r w:rsidRPr="0086769B">
              <w:rPr>
                <w:bCs/>
                <w:sz w:val="24"/>
                <w:szCs w:val="24"/>
              </w:rPr>
              <w:t xml:space="preserve">- </w:t>
            </w:r>
            <w:r>
              <w:rPr>
                <w:sz w:val="24"/>
                <w:szCs w:val="24"/>
              </w:rPr>
              <w:t>i</w:t>
            </w:r>
            <w:r w:rsidRPr="0086769B">
              <w:rPr>
                <w:sz w:val="24"/>
                <w:szCs w:val="24"/>
              </w:rPr>
              <w:t>t is significant in terms of its effect on communities living or working in an area comprising two or more wards [Constitution 15.14]</w:t>
            </w:r>
          </w:p>
        </w:tc>
      </w:tr>
      <w:tr w:rsidR="00505CF6"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Reasons for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6769B" w:rsidRDefault="0086769B" w:rsidP="0086769B">
            <w:pPr>
              <w:rPr>
                <w:rFonts w:cs="Arial"/>
              </w:rPr>
            </w:pPr>
            <w:r>
              <w:rPr>
                <w:rFonts w:cs="Arial"/>
              </w:rPr>
              <w:t>The Council’s staff resource is an asset of the Council. The one-off payment will allow the Council to provide support for its staff in the difficult financial climate.</w:t>
            </w:r>
          </w:p>
          <w:p w:rsidR="00505CF6" w:rsidRPr="007A7741" w:rsidRDefault="0086769B" w:rsidP="0086769B">
            <w:pPr>
              <w:rPr>
                <w:rFonts w:cs="Arial"/>
                <w:bCs/>
                <w:szCs w:val="24"/>
              </w:rPr>
            </w:pPr>
            <w:r>
              <w:rPr>
                <w:rFonts w:cs="Arial"/>
              </w:rPr>
              <w:t>As the support is needed urgently, and to allow payment to be made in a timely way, the decision has been made by the Chief Executive (Head of Paid Service) using authority contained at Part 9.3(b) of the Constitution.  The decision has been made in consultation with senior Council staff; the Leader of the Council; and other Group Leaders, and will be reported to Council in due course.</w:t>
            </w:r>
          </w:p>
        </w:tc>
      </w:tr>
      <w:tr w:rsidR="00505CF6"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lastRenderedPageBreak/>
              <w:t>Alternative options considered: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86769B" w:rsidP="00956B3C">
            <w:pPr>
              <w:rPr>
                <w:szCs w:val="24"/>
              </w:rPr>
            </w:pPr>
            <w:r>
              <w:rPr>
                <w:rFonts w:cs="Arial"/>
              </w:rPr>
              <w:t>Not to make a one-off ex-gratia payment.  This option was rejected as it would not allow support to be provided to staff.</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561AED">
            <w:pPr>
              <w:pStyle w:val="Normal17"/>
              <w:rPr>
                <w:b/>
                <w:bCs/>
                <w:sz w:val="24"/>
                <w:szCs w:val="24"/>
              </w:rPr>
            </w:pPr>
            <w:r w:rsidRPr="00056F01">
              <w:rPr>
                <w:b/>
                <w:bCs/>
                <w:sz w:val="24"/>
                <w:szCs w:val="24"/>
              </w:rPr>
              <w:t>Wards significantly affected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2B3296" w:rsidP="00561AED">
            <w:pPr>
              <w:pStyle w:val="Normal17"/>
              <w:rPr>
                <w:sz w:val="24"/>
                <w:szCs w:val="24"/>
              </w:rPr>
            </w:pPr>
            <w:r>
              <w:rPr>
                <w:sz w:val="24"/>
                <w:szCs w:val="24"/>
              </w:rPr>
              <w:t>None</w:t>
            </w:r>
          </w:p>
        </w:tc>
      </w:tr>
    </w:tbl>
    <w:p w:rsidR="00505CF6" w:rsidRDefault="00505CF6" w:rsidP="0034201F">
      <w:pPr>
        <w:pStyle w:val="ListParagraph"/>
        <w:numPr>
          <w:ilvl w:val="0"/>
          <w:numId w:val="0"/>
        </w:numPr>
        <w:spacing w:after="0"/>
        <w:ind w:left="357"/>
      </w:pPr>
    </w:p>
    <w:p w:rsidR="00B365E3" w:rsidRDefault="00B365E3" w:rsidP="00B365E3">
      <w:pPr>
        <w:pStyle w:val="Heading1"/>
      </w:pPr>
      <w:r>
        <w:t>Financial issues</w:t>
      </w:r>
    </w:p>
    <w:p w:rsidR="0086769B" w:rsidRDefault="0086769B" w:rsidP="003F0C65">
      <w:pPr>
        <w:pStyle w:val="ListParagraph"/>
        <w:jc w:val="both"/>
      </w:pPr>
      <w:r>
        <w:t>The decision was made in recognition</w:t>
      </w:r>
      <w:r>
        <w:t xml:space="preserve"> </w:t>
      </w:r>
      <w:r w:rsidRPr="0086769B">
        <w:t>of the severe impact of the financial pressures facing staff, aiming to provide support in the difficult financial climate.</w:t>
      </w:r>
    </w:p>
    <w:p w:rsidR="00B365E3" w:rsidRDefault="00D35A7A" w:rsidP="003F0C65">
      <w:pPr>
        <w:pStyle w:val="ListParagraph"/>
      </w:pPr>
      <w:r>
        <w:t xml:space="preserve">The </w:t>
      </w:r>
      <w:r w:rsidR="0086769B">
        <w:t>expenditure of c£400,000 was not anticipated in the budget agreed by Council on 16 February 2022 and will be met from reserv</w:t>
      </w:r>
      <w:bookmarkStart w:id="0" w:name="_GoBack"/>
      <w:bookmarkEnd w:id="0"/>
      <w:r w:rsidR="0086769B">
        <w:t>es.</w:t>
      </w:r>
      <w:r w:rsidR="00AD1DCC">
        <w:t xml:space="preserve"> </w:t>
      </w:r>
    </w:p>
    <w:p w:rsidR="00B365E3" w:rsidRDefault="00B365E3" w:rsidP="00D35A7A">
      <w:pPr>
        <w:pStyle w:val="Heading1"/>
      </w:pPr>
      <w:r>
        <w:t>Legal issues</w:t>
      </w:r>
    </w:p>
    <w:p w:rsidR="00CB2FF8" w:rsidRPr="00F86808" w:rsidRDefault="003F0C65" w:rsidP="00A56D9A">
      <w:pPr>
        <w:pStyle w:val="ListParagraph"/>
        <w:spacing w:after="0"/>
        <w:ind w:left="357" w:hanging="357"/>
        <w:rPr>
          <w:sz w:val="16"/>
          <w:szCs w:val="16"/>
        </w:rPr>
      </w:pPr>
      <w:r>
        <w:t>Council responsibilities are set out in Part 3.2 of the Council’s Constitution.</w:t>
      </w:r>
      <w:r>
        <w:t xml:space="preserve"> </w:t>
      </w:r>
      <w:r w:rsidR="00D35A7A">
        <w:t xml:space="preserve">The </w:t>
      </w:r>
      <w:r w:rsidR="00DC3B68">
        <w:t xml:space="preserve">urgency and </w:t>
      </w:r>
      <w:r w:rsidR="00D35A7A">
        <w:t>emergency powers</w:t>
      </w:r>
      <w:r w:rsidR="00DB59F5">
        <w:t xml:space="preserve"> of the Head of Paid Service </w:t>
      </w:r>
      <w:r w:rsidR="00D35A7A">
        <w:t xml:space="preserve">are set out in </w:t>
      </w:r>
      <w:r w:rsidR="00AD1DCC">
        <w:t xml:space="preserve">Part 9.3 of </w:t>
      </w:r>
      <w:r w:rsidR="00D35A7A">
        <w:t xml:space="preserve">the </w:t>
      </w:r>
      <w:r>
        <w:t xml:space="preserve">Council’s </w:t>
      </w:r>
      <w:r w:rsidR="00D35A7A">
        <w:t xml:space="preserve">Constitution. </w:t>
      </w:r>
      <w:r w:rsidR="00FF2BE1">
        <w:t>The responsibilities for budget decisions are set out in Part 18.8 of the Council’s Constitution.</w:t>
      </w:r>
      <w:r>
        <w:t xml:space="preserve"> </w:t>
      </w:r>
    </w:p>
    <w:p w:rsidR="00F86808" w:rsidRPr="009677D8" w:rsidRDefault="00F86808" w:rsidP="00F86808">
      <w:pPr>
        <w:pStyle w:val="ListParagraph"/>
        <w:numPr>
          <w:ilvl w:val="0"/>
          <w:numId w:val="0"/>
        </w:numPr>
        <w:spacing w:after="0"/>
        <w:ind w:left="357"/>
        <w:rPr>
          <w:sz w:val="16"/>
          <w:szCs w:val="16"/>
        </w:rPr>
      </w:pPr>
    </w:p>
    <w:p w:rsidR="00FF2BE1" w:rsidRDefault="00FF2BE1" w:rsidP="009677D8">
      <w:pPr>
        <w:pStyle w:val="ListParagraph"/>
        <w:numPr>
          <w:ilvl w:val="0"/>
          <w:numId w:val="0"/>
        </w:numPr>
        <w:spacing w:after="0"/>
        <w:ind w:left="357"/>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86769B" w:rsidP="0024047D">
            <w:r>
              <w:t>Alice Courtney</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r w:rsidR="0086769B">
              <w:t xml:space="preserve"> (Interim Acting)</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86769B">
            <w:r>
              <w:t xml:space="preserve">01865 </w:t>
            </w:r>
            <w:r w:rsidR="0086769B">
              <w:t>529834</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86769B">
            <w:pPr>
              <w:rPr>
                <w:rStyle w:val="Hyperlink"/>
                <w:color w:val="000000"/>
              </w:rPr>
            </w:pPr>
            <w:r>
              <w:rPr>
                <w:rStyle w:val="Hyperlink"/>
                <w:color w:val="000000"/>
              </w:rPr>
              <w:t>a</w:t>
            </w:r>
            <w:r w:rsidR="0086769B">
              <w:rPr>
                <w:rStyle w:val="Hyperlink"/>
                <w:color w:val="000000"/>
              </w:rPr>
              <w:t>courtney</w:t>
            </w:r>
            <w:r>
              <w:rPr>
                <w:rStyle w:val="Hyperlink"/>
                <w:color w:val="000000"/>
              </w:rPr>
              <w:t>@oxford.gov.uk</w:t>
            </w:r>
          </w:p>
        </w:tc>
      </w:tr>
    </w:tbl>
    <w:p w:rsidR="00CB2FF8" w:rsidRPr="00561AED" w:rsidRDefault="00CB2FF8" w:rsidP="00CB2FF8">
      <w:pPr>
        <w:spacing w:after="0"/>
        <w:rPr>
          <w:rStyle w:val="Firstpagetablebol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FF2BE1">
            <w:r w:rsidRPr="001356F1">
              <w:rPr>
                <w:rStyle w:val="Firstpagetablebold"/>
              </w:rPr>
              <w:t xml:space="preserve">Background Papers: </w:t>
            </w:r>
            <w:r w:rsidRPr="0086769B">
              <w:rPr>
                <w:rStyle w:val="Firstpagetablebold"/>
                <w:b w:val="0"/>
              </w:rPr>
              <w:t>N</w:t>
            </w:r>
            <w:r w:rsidR="00FF2BE1" w:rsidRPr="0086769B">
              <w:rPr>
                <w:rStyle w:val="Firstpagetablebold"/>
                <w:b w:val="0"/>
              </w:rPr>
              <w:t>o</w:t>
            </w:r>
            <w:r w:rsidRPr="0086769B">
              <w:rPr>
                <w:rStyle w:val="Firstpagetablebold"/>
                <w:b w:val="0"/>
              </w:rPr>
              <w:t>ne</w:t>
            </w:r>
          </w:p>
        </w:tc>
      </w:tr>
    </w:tbl>
    <w:p w:rsidR="00CB2FF8" w:rsidRDefault="00CB2FF8" w:rsidP="00997C3E">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524390B"/>
    <w:multiLevelType w:val="hybridMultilevel"/>
    <w:tmpl w:val="BD087E06"/>
    <w:lvl w:ilvl="0" w:tplc="477E373E">
      <w:start w:val="1"/>
      <w:numFmt w:val="decimal"/>
      <w:pStyle w:val="ListParagraph"/>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98365C6"/>
    <w:multiLevelType w:val="multilevel"/>
    <w:tmpl w:val="E67CE66C"/>
    <w:lvl w:ilvl="0">
      <w:start w:val="1"/>
      <w:numFmt w:val="decimal"/>
      <w:pStyle w:val="FootnoteTextChar"/>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24E8"/>
    <w:rsid w:val="000C3011"/>
    <w:rsid w:val="000E7DA1"/>
    <w:rsid w:val="00126867"/>
    <w:rsid w:val="00160FAB"/>
    <w:rsid w:val="00180C5D"/>
    <w:rsid w:val="001B5FDC"/>
    <w:rsid w:val="001D1097"/>
    <w:rsid w:val="001D2597"/>
    <w:rsid w:val="001E130C"/>
    <w:rsid w:val="0026383C"/>
    <w:rsid w:val="00286CF6"/>
    <w:rsid w:val="002B3296"/>
    <w:rsid w:val="002E3B5C"/>
    <w:rsid w:val="003323A8"/>
    <w:rsid w:val="00332664"/>
    <w:rsid w:val="0034201F"/>
    <w:rsid w:val="00347BAC"/>
    <w:rsid w:val="00347C6E"/>
    <w:rsid w:val="00371BAC"/>
    <w:rsid w:val="0037321D"/>
    <w:rsid w:val="003C531A"/>
    <w:rsid w:val="003D56D2"/>
    <w:rsid w:val="003F00F0"/>
    <w:rsid w:val="003F0C65"/>
    <w:rsid w:val="0043307F"/>
    <w:rsid w:val="004B32E1"/>
    <w:rsid w:val="004C2AAE"/>
    <w:rsid w:val="004C2CFE"/>
    <w:rsid w:val="004D29FE"/>
    <w:rsid w:val="00501AB0"/>
    <w:rsid w:val="005043A3"/>
    <w:rsid w:val="00505CF6"/>
    <w:rsid w:val="00560426"/>
    <w:rsid w:val="00561AED"/>
    <w:rsid w:val="005C1B66"/>
    <w:rsid w:val="00601D5A"/>
    <w:rsid w:val="0061040F"/>
    <w:rsid w:val="00660A3B"/>
    <w:rsid w:val="00684B85"/>
    <w:rsid w:val="006B7E29"/>
    <w:rsid w:val="006E23EA"/>
    <w:rsid w:val="0076343A"/>
    <w:rsid w:val="0077249A"/>
    <w:rsid w:val="007A7741"/>
    <w:rsid w:val="007C397B"/>
    <w:rsid w:val="007D79E8"/>
    <w:rsid w:val="007F17FA"/>
    <w:rsid w:val="00811BC4"/>
    <w:rsid w:val="00821101"/>
    <w:rsid w:val="0086769B"/>
    <w:rsid w:val="008A2750"/>
    <w:rsid w:val="00914156"/>
    <w:rsid w:val="00931E27"/>
    <w:rsid w:val="009327DF"/>
    <w:rsid w:val="00956B3C"/>
    <w:rsid w:val="009677D8"/>
    <w:rsid w:val="009869E0"/>
    <w:rsid w:val="0099330A"/>
    <w:rsid w:val="00993F51"/>
    <w:rsid w:val="00997C3E"/>
    <w:rsid w:val="009B76B7"/>
    <w:rsid w:val="009C0464"/>
    <w:rsid w:val="009C4B3B"/>
    <w:rsid w:val="00A21C38"/>
    <w:rsid w:val="00A31EFD"/>
    <w:rsid w:val="00A608BE"/>
    <w:rsid w:val="00A8230D"/>
    <w:rsid w:val="00A8732E"/>
    <w:rsid w:val="00AB5686"/>
    <w:rsid w:val="00AB6DD5"/>
    <w:rsid w:val="00AC22F7"/>
    <w:rsid w:val="00AD19D7"/>
    <w:rsid w:val="00AD1DCC"/>
    <w:rsid w:val="00AD66DD"/>
    <w:rsid w:val="00B12E70"/>
    <w:rsid w:val="00B30803"/>
    <w:rsid w:val="00B365E3"/>
    <w:rsid w:val="00B431BE"/>
    <w:rsid w:val="00B51E4C"/>
    <w:rsid w:val="00B946D4"/>
    <w:rsid w:val="00BB4116"/>
    <w:rsid w:val="00BB5A0C"/>
    <w:rsid w:val="00BC0170"/>
    <w:rsid w:val="00BC313A"/>
    <w:rsid w:val="00BC4998"/>
    <w:rsid w:val="00BC5094"/>
    <w:rsid w:val="00BE11BE"/>
    <w:rsid w:val="00C010D7"/>
    <w:rsid w:val="00C1481D"/>
    <w:rsid w:val="00C268EB"/>
    <w:rsid w:val="00C3663C"/>
    <w:rsid w:val="00CB1D9E"/>
    <w:rsid w:val="00CB2FF8"/>
    <w:rsid w:val="00CC2D82"/>
    <w:rsid w:val="00CD377E"/>
    <w:rsid w:val="00CF05DA"/>
    <w:rsid w:val="00D23270"/>
    <w:rsid w:val="00D3048C"/>
    <w:rsid w:val="00D35A7A"/>
    <w:rsid w:val="00D64BDE"/>
    <w:rsid w:val="00DB42E2"/>
    <w:rsid w:val="00DB59F5"/>
    <w:rsid w:val="00DC3B68"/>
    <w:rsid w:val="00DF30A4"/>
    <w:rsid w:val="00E348EB"/>
    <w:rsid w:val="00E62B7B"/>
    <w:rsid w:val="00ED0FD4"/>
    <w:rsid w:val="00EF4BF4"/>
    <w:rsid w:val="00F74AEA"/>
    <w:rsid w:val="00F84561"/>
    <w:rsid w:val="00F86808"/>
    <w:rsid w:val="00F94AFA"/>
    <w:rsid w:val="00FB3246"/>
    <w:rsid w:val="00FF02B0"/>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styleId="BalloonText">
    <w:name w:val="Balloon Text"/>
    <w:basedOn w:val="Normal"/>
    <w:link w:val="BalloonTextChar"/>
    <w:uiPriority w:val="99"/>
    <w:semiHidden/>
    <w:unhideWhenUsed/>
    <w:rsid w:val="009869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E0"/>
    <w:rPr>
      <w:rFonts w:ascii="Segoe UI" w:hAnsi="Segoe UI" w:cs="Segoe UI"/>
      <w:sz w:val="18"/>
      <w:szCs w:val="18"/>
      <w:lang w:eastAsia="en-US"/>
    </w:rPr>
  </w:style>
  <w:style w:type="paragraph" w:customStyle="1" w:styleId="Default">
    <w:name w:val="Default"/>
    <w:rsid w:val="008676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68AC-EA5D-4E34-BE13-207896F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66EB1038</Template>
  <TotalTime>141</TotalTime>
  <Pages>3</Pages>
  <Words>836</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5144</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COURTNEY Alice</cp:lastModifiedBy>
  <cp:revision>5</cp:revision>
  <cp:lastPrinted>2015-07-24T10:00:00Z</cp:lastPrinted>
  <dcterms:created xsi:type="dcterms:W3CDTF">2022-01-07T09:59:00Z</dcterms:created>
  <dcterms:modified xsi:type="dcterms:W3CDTF">2022-10-20T08:24:00Z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